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633D" w:rsidRDefault="008F2799">
      <w:pPr>
        <w:jc w:val="center"/>
      </w:pPr>
      <w:bookmarkStart w:id="0" w:name="_GoBack"/>
      <w:bookmarkEnd w:id="0"/>
      <w:r>
        <w:rPr>
          <w:sz w:val="32"/>
          <w:szCs w:val="32"/>
          <w:u w:val="single"/>
        </w:rPr>
        <w:t>7th Grade, Pre-Algebra (Academic)</w:t>
      </w:r>
    </w:p>
    <w:p w:rsidR="00FF633D" w:rsidRDefault="008F2799">
      <w:pPr>
        <w:jc w:val="center"/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Netkovick</w:t>
      </w:r>
      <w:proofErr w:type="spellEnd"/>
      <w:r>
        <w:rPr>
          <w:sz w:val="32"/>
          <w:szCs w:val="32"/>
        </w:rPr>
        <w:t>– Room 212</w:t>
      </w:r>
    </w:p>
    <w:p w:rsidR="00FF633D" w:rsidRDefault="008F2799">
      <w:r>
        <w:t xml:space="preserve"> </w:t>
      </w:r>
    </w:p>
    <w:p w:rsidR="00FF633D" w:rsidRDefault="008F2799">
      <w:r>
        <w:rPr>
          <w:sz w:val="24"/>
          <w:szCs w:val="24"/>
        </w:rPr>
        <w:t>The details of math in seventh grade:</w:t>
      </w:r>
    </w:p>
    <w:p w:rsidR="00FF633D" w:rsidRDefault="008F2799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Students work individually, in partnerships, and in groups</w:t>
      </w:r>
    </w:p>
    <w:p w:rsidR="00FF633D" w:rsidRDefault="008F2799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Students develop problem-solving strategies, solve problems, practice algorithms, and communicate the process they use to complete various mathematical challenges.</w:t>
      </w:r>
    </w:p>
    <w:p w:rsidR="00FF633D" w:rsidRDefault="008F2799">
      <w:r>
        <w:rPr>
          <w:sz w:val="24"/>
          <w:szCs w:val="24"/>
        </w:rPr>
        <w:t xml:space="preserve"> </w:t>
      </w:r>
    </w:p>
    <w:p w:rsidR="00FF633D" w:rsidRDefault="008F2799">
      <w:r>
        <w:rPr>
          <w:sz w:val="24"/>
          <w:szCs w:val="24"/>
        </w:rPr>
        <w:t>Sequence of Topics:</w:t>
      </w:r>
    </w:p>
    <w:tbl>
      <w:tblPr>
        <w:tblStyle w:val="a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8535"/>
      </w:tblGrid>
      <w:tr w:rsidR="00FF633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8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Algebraic Reasoning</w:t>
            </w:r>
          </w:p>
          <w:p w:rsidR="00FF633D" w:rsidRDefault="008F2799">
            <w:pPr>
              <w:spacing w:line="360" w:lineRule="auto"/>
            </w:pPr>
            <w:r>
              <w:rPr>
                <w:sz w:val="24"/>
                <w:szCs w:val="24"/>
              </w:rPr>
              <w:t xml:space="preserve">Introduction to variables, tables, graphs, </w:t>
            </w:r>
            <w:r>
              <w:rPr>
                <w:sz w:val="24"/>
                <w:szCs w:val="24"/>
              </w:rPr>
              <w:t>and equations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Rigid and Non-Rigid Transformations</w:t>
            </w:r>
          </w:p>
          <w:p w:rsidR="00FF633D" w:rsidRDefault="008F2799">
            <w:pPr>
              <w:spacing w:line="360" w:lineRule="auto"/>
            </w:pPr>
            <w:r>
              <w:rPr>
                <w:sz w:val="24"/>
                <w:szCs w:val="24"/>
              </w:rPr>
              <w:t>Focus on congruent and similar figures.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Ratios, Rates, </w:t>
            </w:r>
            <w:proofErr w:type="spellStart"/>
            <w:r>
              <w:rPr>
                <w:b/>
                <w:sz w:val="24"/>
                <w:szCs w:val="24"/>
              </w:rPr>
              <w:t>Percents</w:t>
            </w:r>
            <w:proofErr w:type="spellEnd"/>
            <w:r>
              <w:rPr>
                <w:b/>
                <w:sz w:val="24"/>
                <w:szCs w:val="24"/>
              </w:rPr>
              <w:t>, and Proportions</w:t>
            </w:r>
          </w:p>
          <w:p w:rsidR="00FF633D" w:rsidRDefault="008F2799">
            <w:pPr>
              <w:spacing w:line="360" w:lineRule="auto"/>
            </w:pPr>
            <w:r>
              <w:rPr>
                <w:sz w:val="24"/>
                <w:szCs w:val="24"/>
              </w:rPr>
              <w:t xml:space="preserve">Using ratios, rates, </w:t>
            </w:r>
            <w:proofErr w:type="spellStart"/>
            <w:r>
              <w:rPr>
                <w:sz w:val="24"/>
                <w:szCs w:val="24"/>
              </w:rPr>
              <w:t>percents</w:t>
            </w:r>
            <w:proofErr w:type="spellEnd"/>
            <w:r>
              <w:rPr>
                <w:sz w:val="24"/>
                <w:szCs w:val="24"/>
              </w:rPr>
              <w:t>, and proportions for solve real-world problems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4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Operations with Rational Numbers</w:t>
            </w:r>
          </w:p>
          <w:p w:rsidR="00FF633D" w:rsidRDefault="008F2799">
            <w:pPr>
              <w:spacing w:line="360" w:lineRule="auto"/>
            </w:pPr>
            <w:r>
              <w:rPr>
                <w:sz w:val="24"/>
                <w:szCs w:val="24"/>
              </w:rPr>
              <w:t>Focus on positive and negative rational numbers.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</w:pPr>
            <w:r>
              <w:rPr>
                <w:b/>
                <w:sz w:val="24"/>
                <w:szCs w:val="24"/>
              </w:rPr>
              <w:t>Two- and Three-Dimensional Geometry</w:t>
            </w:r>
          </w:p>
          <w:p w:rsidR="00FF633D" w:rsidRDefault="008F2799">
            <w:pPr>
              <w:widowControl w:val="0"/>
            </w:pPr>
            <w:r>
              <w:rPr>
                <w:sz w:val="24"/>
                <w:szCs w:val="24"/>
              </w:rPr>
              <w:t>Area/perimeter of circles, exactness of Pi, cross sections, nets, surface area, volume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6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r>
              <w:rPr>
                <w:b/>
                <w:sz w:val="24"/>
                <w:szCs w:val="24"/>
              </w:rPr>
              <w:t>Triangles and Angle Relationships</w:t>
            </w:r>
          </w:p>
          <w:p w:rsidR="00FF633D" w:rsidRDefault="008F2799"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onstruction of triangles from angles or sides.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7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r>
              <w:rPr>
                <w:b/>
                <w:sz w:val="24"/>
                <w:szCs w:val="24"/>
              </w:rPr>
              <w:t>One-Variable Linear Relationships</w:t>
            </w:r>
          </w:p>
          <w:p w:rsidR="00FF633D" w:rsidRDefault="008F2799">
            <w:r>
              <w:rPr>
                <w:sz w:val="24"/>
                <w:szCs w:val="24"/>
              </w:rPr>
              <w:t>Recognition of linear relationships and solving one variable linear equations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8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r>
              <w:rPr>
                <w:b/>
                <w:sz w:val="24"/>
                <w:szCs w:val="24"/>
              </w:rPr>
              <w:t>Inferences about Population</w:t>
            </w:r>
          </w:p>
          <w:p w:rsidR="00FF633D" w:rsidRDefault="008F2799">
            <w:r>
              <w:rPr>
                <w:sz w:val="24"/>
                <w:szCs w:val="24"/>
              </w:rPr>
              <w:t>Data sampling and comparative inferences.</w:t>
            </w:r>
          </w:p>
        </w:tc>
      </w:tr>
      <w:tr w:rsidR="00FF633D"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Unit 9</w:t>
            </w:r>
          </w:p>
        </w:tc>
        <w:tc>
          <w:tcPr>
            <w:tcW w:w="8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r>
              <w:rPr>
                <w:b/>
                <w:sz w:val="24"/>
                <w:szCs w:val="24"/>
              </w:rPr>
              <w:t>Probability</w:t>
            </w:r>
          </w:p>
          <w:p w:rsidR="00FF633D" w:rsidRDefault="008F2799">
            <w:r>
              <w:rPr>
                <w:sz w:val="24"/>
                <w:szCs w:val="24"/>
              </w:rPr>
              <w:t>Simple and compound probabilities.</w:t>
            </w:r>
          </w:p>
        </w:tc>
      </w:tr>
    </w:tbl>
    <w:p w:rsidR="00FF633D" w:rsidRDefault="008F2799">
      <w:r>
        <w:rPr>
          <w:sz w:val="24"/>
          <w:szCs w:val="24"/>
        </w:rPr>
        <w:t xml:space="preserve"> </w:t>
      </w:r>
    </w:p>
    <w:p w:rsidR="00FF633D" w:rsidRDefault="008F2799">
      <w:r>
        <w:rPr>
          <w:b/>
          <w:sz w:val="24"/>
          <w:szCs w:val="24"/>
        </w:rPr>
        <w:t>Materials Needed for Class:</w:t>
      </w:r>
    </w:p>
    <w:p w:rsidR="00FF633D" w:rsidRDefault="008F2799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lastRenderedPageBreak/>
        <w:t>Pencils/erasers</w:t>
      </w:r>
    </w:p>
    <w:p w:rsidR="00FF633D" w:rsidRDefault="008F2799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1½  inch three ring binder to be used only for math (with dividers)</w:t>
      </w:r>
    </w:p>
    <w:p w:rsidR="00FF633D" w:rsidRDefault="008F2799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supply of loose-leaf paper</w:t>
      </w:r>
    </w:p>
    <w:p w:rsidR="00FF633D" w:rsidRDefault="008F2799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Calculator (TI-30 is recommended)</w:t>
      </w:r>
    </w:p>
    <w:p w:rsidR="00FF633D" w:rsidRDefault="008F2799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A positive attitude</w:t>
      </w:r>
    </w:p>
    <w:p w:rsidR="00FF633D" w:rsidRDefault="008F2799">
      <w:r>
        <w:t xml:space="preserve"> </w:t>
      </w:r>
    </w:p>
    <w:p w:rsidR="00FF633D" w:rsidRDefault="008F2799">
      <w:r>
        <w:rPr>
          <w:b/>
          <w:sz w:val="24"/>
          <w:szCs w:val="24"/>
        </w:rPr>
        <w:t>In the event of absence:</w:t>
      </w:r>
    </w:p>
    <w:p w:rsidR="00FF633D" w:rsidRDefault="008F2799">
      <w:r>
        <w:rPr>
          <w:sz w:val="24"/>
          <w:szCs w:val="24"/>
        </w:rPr>
        <w:t>Students are required to make up any missing assignments and/or tests in accordance with Avon Middle School policy.</w:t>
      </w:r>
    </w:p>
    <w:p w:rsidR="00FF633D" w:rsidRDefault="00FF633D"/>
    <w:p w:rsidR="00FF633D" w:rsidRDefault="008F2799">
      <w:pPr>
        <w:spacing w:line="331" w:lineRule="auto"/>
      </w:pPr>
      <w:r>
        <w:rPr>
          <w:b/>
          <w:sz w:val="24"/>
          <w:szCs w:val="24"/>
        </w:rPr>
        <w:t>Extra Help</w:t>
      </w:r>
    </w:p>
    <w:p w:rsidR="00FF633D" w:rsidRDefault="008F2799">
      <w:pPr>
        <w:spacing w:line="331" w:lineRule="auto"/>
      </w:pPr>
      <w:r>
        <w:rPr>
          <w:sz w:val="24"/>
          <w:szCs w:val="24"/>
        </w:rPr>
        <w:t>Extra help is available during flex period or after school (by appointment only).</w:t>
      </w:r>
    </w:p>
    <w:p w:rsidR="00FF633D" w:rsidRDefault="008F2799">
      <w:r>
        <w:t xml:space="preserve"> </w:t>
      </w:r>
    </w:p>
    <w:p w:rsidR="00FF633D" w:rsidRDefault="008F2799">
      <w:r>
        <w:rPr>
          <w:b/>
          <w:sz w:val="24"/>
          <w:szCs w:val="24"/>
        </w:rPr>
        <w:t>Questions, Comments, Concerns</w:t>
      </w:r>
    </w:p>
    <w:p w:rsidR="00FF633D" w:rsidRDefault="008F2799">
      <w:pPr>
        <w:numPr>
          <w:ilvl w:val="0"/>
          <w:numId w:val="4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Visit my website</w:t>
      </w:r>
    </w:p>
    <w:p w:rsidR="00FF633D" w:rsidRDefault="008F2799">
      <w:pPr>
        <w:numPr>
          <w:ilvl w:val="0"/>
          <w:numId w:val="4"/>
        </w:numPr>
        <w:ind w:hanging="360"/>
        <w:contextualSpacing/>
      </w:pPr>
      <w:r>
        <w:t>Send me an email: mnetkovick@avon.k12.ct.us</w:t>
      </w:r>
    </w:p>
    <w:p w:rsidR="00FF633D" w:rsidRDefault="008F2799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See me!</w:t>
      </w:r>
    </w:p>
    <w:p w:rsidR="00FF633D" w:rsidRDefault="00FF633D"/>
    <w:p w:rsidR="00FF633D" w:rsidRDefault="008F2799">
      <w:r>
        <w:rPr>
          <w:b/>
          <w:sz w:val="24"/>
          <w:szCs w:val="24"/>
        </w:rPr>
        <w:t xml:space="preserve">Grading </w:t>
      </w:r>
    </w:p>
    <w:p w:rsidR="00FF633D" w:rsidRDefault="008F2799">
      <w:r>
        <w:rPr>
          <w:sz w:val="24"/>
          <w:szCs w:val="24"/>
        </w:rPr>
        <w:t>The final grade will be calculated based upon the following:</w:t>
      </w:r>
    </w:p>
    <w:p w:rsidR="00FF633D" w:rsidRDefault="008F2799">
      <w:r>
        <w:rPr>
          <w:sz w:val="24"/>
          <w:szCs w:val="24"/>
        </w:rPr>
        <w:t xml:space="preserve"> </w:t>
      </w:r>
    </w:p>
    <w:p w:rsidR="00FF633D" w:rsidRDefault="008F2799">
      <w:r>
        <w:rPr>
          <w:sz w:val="24"/>
          <w:szCs w:val="24"/>
        </w:rPr>
        <w:t xml:space="preserve">10%    Homework </w:t>
      </w:r>
    </w:p>
    <w:p w:rsidR="00FF633D" w:rsidRDefault="008F2799">
      <w:r>
        <w:rPr>
          <w:sz w:val="24"/>
          <w:szCs w:val="24"/>
        </w:rPr>
        <w:t>10%    Math binder</w:t>
      </w:r>
    </w:p>
    <w:p w:rsidR="00FF633D" w:rsidRDefault="008F2799">
      <w:r>
        <w:t xml:space="preserve">10%    </w:t>
      </w:r>
      <w:r>
        <w:tab/>
        <w:t>Math Review Grade (based on bi-weekly q</w:t>
      </w:r>
      <w:r>
        <w:t>uizzes)</w:t>
      </w:r>
    </w:p>
    <w:p w:rsidR="00FF633D" w:rsidRDefault="008F2799">
      <w:r>
        <w:rPr>
          <w:sz w:val="24"/>
          <w:szCs w:val="24"/>
        </w:rPr>
        <w:t>20%</w:t>
      </w:r>
      <w:r>
        <w:rPr>
          <w:sz w:val="24"/>
          <w:szCs w:val="24"/>
        </w:rPr>
        <w:tab/>
        <w:t>Quizzes and projects</w:t>
      </w:r>
    </w:p>
    <w:p w:rsidR="00FF633D" w:rsidRDefault="008F2799">
      <w:r>
        <w:rPr>
          <w:sz w:val="24"/>
          <w:szCs w:val="24"/>
        </w:rPr>
        <w:t>50%</w:t>
      </w:r>
      <w:r>
        <w:rPr>
          <w:sz w:val="24"/>
          <w:szCs w:val="24"/>
        </w:rPr>
        <w:tab/>
        <w:t>Tests</w:t>
      </w:r>
    </w:p>
    <w:p w:rsidR="00FF633D" w:rsidRDefault="008F2799">
      <w:r>
        <w:rPr>
          <w:b/>
          <w:sz w:val="28"/>
          <w:szCs w:val="28"/>
        </w:rPr>
        <w:t xml:space="preserve"> </w:t>
      </w:r>
    </w:p>
    <w:p w:rsidR="00FF633D" w:rsidRDefault="008F2799"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Homework</w:t>
      </w:r>
    </w:p>
    <w:p w:rsidR="00FF633D" w:rsidRDefault="008F2799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Given almost daily and always reviewed in some manner by the teacher.</w:t>
      </w:r>
    </w:p>
    <w:p w:rsidR="00FF633D" w:rsidRDefault="008F2799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Assignment is usually posted on my web page by 4:00 p.m.</w:t>
      </w:r>
    </w:p>
    <w:p w:rsidR="00FF633D" w:rsidRDefault="008F2799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Must be completed in the proper format</w:t>
      </w:r>
    </w:p>
    <w:p w:rsidR="00FF633D" w:rsidRDefault="008F2799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Name, date, and page number(s) written in top, right-hand corner</w:t>
      </w:r>
    </w:p>
    <w:p w:rsidR="00FF633D" w:rsidRDefault="008F2799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Homework should be completed in pencil and all work must be shown!</w:t>
      </w:r>
    </w:p>
    <w:p w:rsidR="00FF633D" w:rsidRDefault="008F2799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If a student works on homework diligently for 45 minutes and is not finished, parents may initial the completed work and hom</w:t>
      </w:r>
      <w:r>
        <w:rPr>
          <w:sz w:val="24"/>
          <w:szCs w:val="24"/>
        </w:rPr>
        <w:t>ework will receive a grade of Satisfactory.</w:t>
      </w:r>
    </w:p>
    <w:p w:rsidR="00FF633D" w:rsidRDefault="008F2799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Grading Rubric for homework:</w:t>
      </w:r>
    </w:p>
    <w:p w:rsidR="00FF633D" w:rsidRDefault="008F2799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Satisfactory (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) on-time assignments earn 100%</w:t>
      </w:r>
    </w:p>
    <w:p w:rsidR="00FF633D" w:rsidRDefault="008F2799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Late but satisfactory (</w:t>
      </w:r>
      <w:r>
        <w:rPr>
          <w:b/>
          <w:sz w:val="24"/>
          <w:szCs w:val="24"/>
        </w:rPr>
        <w:t>LS</w:t>
      </w:r>
      <w:r>
        <w:rPr>
          <w:sz w:val="24"/>
          <w:szCs w:val="24"/>
        </w:rPr>
        <w:t>) assignments earn 80%</w:t>
      </w:r>
    </w:p>
    <w:p w:rsidR="00FF633D" w:rsidRDefault="008F2799">
      <w:pPr>
        <w:numPr>
          <w:ilvl w:val="1"/>
          <w:numId w:val="2"/>
        </w:numPr>
        <w:ind w:hanging="360"/>
        <w:contextualSpacing/>
      </w:pPr>
      <w:r>
        <w:rPr>
          <w:sz w:val="24"/>
          <w:szCs w:val="24"/>
        </w:rPr>
        <w:t>Unsatisfactory (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>) or missing assignments earn 0%</w:t>
      </w:r>
    </w:p>
    <w:p w:rsidR="00FF633D" w:rsidRDefault="008F2799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F633D" w:rsidRDefault="008F2799">
      <w:r>
        <w:rPr>
          <w:b/>
          <w:sz w:val="24"/>
          <w:szCs w:val="24"/>
        </w:rPr>
        <w:lastRenderedPageBreak/>
        <w:t>Math Binder</w:t>
      </w:r>
    </w:p>
    <w:p w:rsidR="00FF633D" w:rsidRDefault="008F2799">
      <w:r>
        <w:rPr>
          <w:sz w:val="24"/>
          <w:szCs w:val="24"/>
        </w:rPr>
        <w:t>Students are required t</w:t>
      </w:r>
      <w:r>
        <w:rPr>
          <w:sz w:val="24"/>
          <w:szCs w:val="24"/>
        </w:rPr>
        <w:t>o maintain a binder with 5 sections. It will be collected and scored at the end of every unit. See separate handout for further information.</w:t>
      </w:r>
    </w:p>
    <w:p w:rsidR="00FF633D" w:rsidRDefault="008F2799">
      <w:r>
        <w:t xml:space="preserve"> </w:t>
      </w:r>
      <w:r>
        <w:rPr>
          <w:b/>
          <w:sz w:val="28"/>
          <w:szCs w:val="28"/>
        </w:rPr>
        <w:t xml:space="preserve"> </w:t>
      </w:r>
    </w:p>
    <w:p w:rsidR="00FF633D" w:rsidRDefault="008F2799">
      <w:r>
        <w:rPr>
          <w:b/>
          <w:sz w:val="24"/>
          <w:szCs w:val="24"/>
        </w:rPr>
        <w:t>Tests &amp; Quizzes</w:t>
      </w:r>
    </w:p>
    <w:p w:rsidR="00FF633D" w:rsidRDefault="008F2799">
      <w:r>
        <w:rPr>
          <w:sz w:val="24"/>
          <w:szCs w:val="24"/>
        </w:rPr>
        <w:t xml:space="preserve">Tests and quizzes will always be announced and at least two </w:t>
      </w:r>
      <w:proofErr w:type="spellStart"/>
      <w:r>
        <w:rPr>
          <w:sz w:val="24"/>
          <w:szCs w:val="24"/>
        </w:rPr>
        <w:t>days notice</w:t>
      </w:r>
      <w:proofErr w:type="spellEnd"/>
      <w:r>
        <w:rPr>
          <w:sz w:val="24"/>
          <w:szCs w:val="24"/>
        </w:rPr>
        <w:t xml:space="preserve"> will be given to provide time to prepare. To prepare for quizzes, review old homework and unit journal entries. To prepare for tests you will be given a practice test that includes the</w:t>
      </w:r>
      <w:r>
        <w:rPr>
          <w:sz w:val="24"/>
          <w:szCs w:val="24"/>
        </w:rPr>
        <w:t xml:space="preserve"> answers to the problems.  </w:t>
      </w:r>
    </w:p>
    <w:p w:rsidR="00FF633D" w:rsidRDefault="00FF633D"/>
    <w:p w:rsidR="00FF633D" w:rsidRDefault="008F2799">
      <w:r>
        <w:rPr>
          <w:b/>
          <w:sz w:val="24"/>
          <w:szCs w:val="24"/>
        </w:rPr>
        <w:t>Moving from the Academic level in 7th Grade to the Honors level in 8th Grade</w:t>
      </w:r>
    </w:p>
    <w:p w:rsidR="00FF633D" w:rsidRDefault="008F2799">
      <w:r>
        <w:t>This is the criteria that the 7th grade math department will be using to recommend a student move from academic math to honors math in grade 8.</w:t>
      </w:r>
    </w:p>
    <w:p w:rsidR="00FF633D" w:rsidRDefault="00FF633D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535"/>
        <w:gridCol w:w="1425"/>
        <w:gridCol w:w="1590"/>
        <w:gridCol w:w="1320"/>
        <w:gridCol w:w="1305"/>
      </w:tblGrid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Type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t>Student Score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t>Level of Performance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t>Weighted Points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t>Student Points</w:t>
            </w: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5/1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Spring Placement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5/20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Unit #7 Test (Linear)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5/30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Unit Test Average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5/30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DMR/DGR Average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95</m:t>
                </m:r>
              </m:oMath>
            </m:oMathPara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10/1 or 5/1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DRP (Best)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10/1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>6th Grade SBAC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3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  <w:tr w:rsidR="00FF633D">
        <w:trPr>
          <w:jc w:val="center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8F279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80 or greater needed for placement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33D" w:rsidRDefault="00FF633D">
            <w:pPr>
              <w:widowControl w:val="0"/>
              <w:spacing w:line="240" w:lineRule="auto"/>
              <w:jc w:val="center"/>
            </w:pPr>
          </w:p>
        </w:tc>
      </w:tr>
    </w:tbl>
    <w:p w:rsidR="00FF633D" w:rsidRDefault="00FF633D"/>
    <w:p w:rsidR="00FF633D" w:rsidRDefault="008F2799">
      <w:r>
        <w:t>Parent Signature: __________________________________________</w:t>
      </w:r>
      <w:proofErr w:type="gramStart"/>
      <w:r>
        <w:t>_  Date</w:t>
      </w:r>
      <w:proofErr w:type="gramEnd"/>
      <w:r>
        <w:t>: _______</w:t>
      </w:r>
    </w:p>
    <w:p w:rsidR="00FF633D" w:rsidRDefault="00FF633D"/>
    <w:p w:rsidR="00FF633D" w:rsidRDefault="008F2799">
      <w:r>
        <w:t>Student Signature: _________________________________________</w:t>
      </w:r>
      <w:proofErr w:type="gramStart"/>
      <w:r>
        <w:t>_  Date</w:t>
      </w:r>
      <w:proofErr w:type="gramEnd"/>
      <w:r>
        <w:t>:  _______</w:t>
      </w:r>
    </w:p>
    <w:sectPr w:rsidR="00FF6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9B0"/>
    <w:multiLevelType w:val="multilevel"/>
    <w:tmpl w:val="5E5AF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3B15A0"/>
    <w:multiLevelType w:val="multilevel"/>
    <w:tmpl w:val="7F928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7330A8"/>
    <w:multiLevelType w:val="multilevel"/>
    <w:tmpl w:val="9366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DDE2260"/>
    <w:multiLevelType w:val="multilevel"/>
    <w:tmpl w:val="D624D4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D"/>
    <w:rsid w:val="008F279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4F089-7669-40EA-BA15-973FF1D0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Netkovick, Michael</dc:creator>
  <cp:lastModifiedBy>Netkovick, Michael</cp:lastModifiedBy>
  <cp:revision>2</cp:revision>
  <dcterms:created xsi:type="dcterms:W3CDTF">2016-09-06T18:37:00Z</dcterms:created>
  <dcterms:modified xsi:type="dcterms:W3CDTF">2016-09-06T18:37:00Z</dcterms:modified>
</cp:coreProperties>
</file>